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80"/>
      </w:pPr>
      <w:r>
        <w:rPr>
          <w:b/>
          <w:bCs/>
        </w:rPr>
        <w:t xml:space="preserve">PRD — InduBrain Industrial Advisor</w:t>
      </w:r>
    </w:p>
    <w:p>
      <w:pPr>
        <w:spacing w:after="160"/>
      </w:pPr>
      <w:r>
        <w:rPr>
          <w:sz w:val="22"/>
          <w:szCs w:val="22"/>
        </w:rPr>
        <w:t xml:space="preserve">Companion to Business Case — InduBrain Industrial Intelligence Platform · Version 1.0 · August 2026 · Prepared by Corbia Innovation Hub for the Egyptian Ministry of Industry and Trade</w:t>
      </w:r>
    </w:p>
    <w:p>
      <w:pPr>
        <w:pStyle w:val="Heading1"/>
        <w:spacing w:after="160" w:before="280"/>
      </w:pPr>
      <w:r>
        <w:rPr>
          <w:b/>
          <w:bCs/>
        </w:rPr>
        <w:t xml:space="preserve">1. Document Control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Field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Document Title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PRD — InduBrain Industrial Advisor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Prepared For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Egyptian Ministry of Industry and Trade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Prepared By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Corbia Innovation Hub — Hossam Zein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Status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Draft — For Discussion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Version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August 2026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2. Executive Summary</w:t>
      </w:r>
    </w:p>
    <w:p>
      <w:pPr>
        <w:spacing w:after="160"/>
      </w:pPr>
      <w:r>
        <w:rPr>
          <w:sz w:val="22"/>
          <w:szCs w:val="22"/>
        </w:rPr>
        <w:t xml:space="preserve">InduBrain is a bilingual (AR/EN) cited industrial advisor delivered through the InduHub portal, discovered via a MIND hub tab. v1 grounds answers in governed text sources (MIND methodology docs, IDA/IMC catalogues, ministry decrees) with mandatory citations, private workspaces, RBAC and Egypt-hosted inference with audit logging.</w:t>
      </w:r>
    </w:p>
    <w:p>
      <w:pPr>
        <w:pStyle w:val="Heading1"/>
        <w:spacing w:after="160" w:before="280"/>
      </w:pPr>
      <w:r>
        <w:rPr>
          <w:b/>
          <w:bCs/>
        </w:rPr>
        <w:t xml:space="preserve">3. Background</w:t>
      </w:r>
    </w:p>
    <w:p>
      <w:pPr>
        <w:spacing w:after="160"/>
      </w:pPr>
      <w:r>
        <w:rPr>
          <w:sz w:val="22"/>
          <w:szCs w:val="22"/>
        </w:rPr>
        <w:t xml:space="preserve">MIND unifies manufacturer services including «احسب فرصتك» preliminary feasibility. IDA owns industrial licensing and land pathways; IMC owns modernization programmes. InduBrain deepens cited Q&amp;A across these sources without replacing official portals or full feasibility engagements.</w:t>
      </w:r>
    </w:p>
    <w:p>
      <w:pPr>
        <w:pStyle w:val="Heading1"/>
        <w:spacing w:after="160" w:before="280"/>
      </w:pPr>
      <w:r>
        <w:rPr>
          <w:b/>
          <w:bCs/>
        </w:rPr>
        <w:t xml:space="preserve">4. Problem</w:t>
      </w:r>
    </w:p>
    <w:p>
      <w:pPr>
        <w:spacing w:after="160"/>
      </w:pPr>
      <w:r>
        <w:rPr>
          <w:sz w:val="22"/>
          <w:szCs w:val="22"/>
        </w:rPr>
        <w:t xml:space="preserve">Investors and officials lack a single cited, tenant-aware advisor that connects opportunity screening, licensing guidance and programme matching. Helpdesks repeat the same answers; ministry leadership lacks anonymized insight into demand themes.</w:t>
      </w:r>
    </w:p>
    <w:p>
      <w:pPr>
        <w:pStyle w:val="Heading1"/>
        <w:spacing w:after="160" w:before="280"/>
      </w:pPr>
      <w:r>
        <w:rPr>
          <w:b/>
          <w:bCs/>
        </w:rPr>
        <w:t xml:space="preserve">5. Vision / Objectives</w:t>
      </w:r>
    </w:p>
    <w:p>
      <w:pPr>
        <w:spacing w:after="80"/>
        <w:ind w:left="360"/>
      </w:pPr>
      <w:r>
        <w:rPr>
          <w:sz w:val="22"/>
          <w:szCs w:val="22"/>
        </w:rPr>
        <w:t xml:space="preserve">• Deliver cited answers for industrial opportunity and procedure questions within seconds.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Preserve data residency and tenancy isolation on Egypt-hosted infrastructure.</w:t>
      </w:r>
    </w:p>
    <w:p>
      <w:pPr>
        <w:spacing w:after="80"/>
        <w:ind w:left="360"/>
      </w:pPr>
      <w:r>
        <w:rPr>
          <w:sz w:val="22"/>
          <w:szCs w:val="22"/>
        </w:rPr>
        <w:t xml:space="preserve">• Give ministry leadership anonymized analytics on usage themes.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Enter from MIND; operate fully in InduHub.</w:t>
      </w:r>
    </w:p>
    <w:p>
      <w:pPr>
        <w:pStyle w:val="Heading1"/>
        <w:spacing w:after="160" w:before="280"/>
      </w:pPr>
      <w:r>
        <w:rPr>
          <w:b/>
          <w:bCs/>
        </w:rPr>
        <w:t xml:space="preserve">6. Target Users</w:t>
      </w:r>
    </w:p>
    <w:p>
      <w:pPr>
        <w:spacing w:after="80"/>
        <w:ind w:left="360"/>
      </w:pPr>
      <w:r>
        <w:rPr>
          <w:sz w:val="22"/>
          <w:szCs w:val="22"/>
        </w:rPr>
        <w:t xml:space="preserve">• Ministry leadership and policy analysts.</w:t>
      </w:r>
    </w:p>
    <w:p>
      <w:pPr>
        <w:spacing w:after="80"/>
        <w:ind w:left="360"/>
      </w:pPr>
      <w:r>
        <w:rPr>
          <w:sz w:val="22"/>
          <w:szCs w:val="22"/>
        </w:rPr>
        <w:t xml:space="preserve">• IDA and IMC officers and affiliated industrial entities.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Private industrial investors and manufacturers (authorised tenants).</w:t>
      </w:r>
    </w:p>
    <w:p>
      <w:pPr>
        <w:pStyle w:val="Heading1"/>
        <w:spacing w:after="160" w:before="280"/>
      </w:pPr>
      <w:r>
        <w:rPr>
          <w:b/>
          <w:bCs/>
        </w:rPr>
        <w:t xml:space="preserve">7. Scope</w:t>
      </w:r>
    </w:p>
    <w:p>
      <w:pPr>
        <w:pStyle w:val="Heading2"/>
        <w:spacing w:after="160" w:before="280"/>
      </w:pPr>
      <w:r>
        <w:rPr>
          <w:b/>
          <w:bCs/>
        </w:rPr>
        <w:t xml:space="preserve">In scope (v1)</w:t>
      </w:r>
    </w:p>
    <w:p>
      <w:pPr>
        <w:spacing w:after="80"/>
        <w:ind w:left="360"/>
      </w:pPr>
      <w:r>
        <w:rPr>
          <w:sz w:val="22"/>
          <w:szCs w:val="22"/>
        </w:rPr>
        <w:t xml:space="preserve">• Multilingual cited Q&amp;A on governed text corpus.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Preliminary feasibility briefing pattern aligned with «احسب فرصتك» methodology docs.</w:t>
      </w:r>
    </w:p>
    <w:p>
      <w:pPr>
        <w:spacing w:after="80"/>
        <w:ind w:left="360"/>
      </w:pPr>
      <w:r>
        <w:rPr>
          <w:sz w:val="22"/>
          <w:szCs w:val="22"/>
        </w:rPr>
        <w:t xml:space="preserve">• Service routing summaries to IDA/IMC/MIND service links.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Private workspace upload for project briefs.</w:t>
      </w:r>
    </w:p>
    <w:p>
      <w:pPr>
        <w:spacing w:after="80"/>
        <w:ind w:left="360"/>
      </w:pPr>
      <w:r>
        <w:rPr>
          <w:sz w:val="22"/>
          <w:szCs w:val="22"/>
        </w:rPr>
        <w:t xml:space="preserve">• Admin KB console, audit log, anonymized analytics.</w:t>
      </w:r>
    </w:p>
    <w:p>
      <w:pPr>
        <w:pStyle w:val="Heading2"/>
        <w:spacing w:after="160" w:before="280"/>
      </w:pPr>
      <w:r>
        <w:rPr>
          <w:b/>
          <w:bCs/>
        </w:rPr>
        <w:t xml:space="preserve">Out of scope (v1)</w:t>
      </w:r>
    </w:p>
    <w:p>
      <w:pPr>
        <w:spacing w:after="80"/>
        <w:ind w:left="360"/>
      </w:pPr>
      <w:r>
        <w:rPr>
          <w:sz w:val="22"/>
          <w:szCs w:val="22"/>
        </w:rPr>
        <w:t xml:space="preserve">• Live licence filings or payments.</w:t>
      </w:r>
    </w:p>
    <w:p>
      <w:pPr>
        <w:spacing w:after="80"/>
        <w:ind w:left="360"/>
      </w:pPr>
      <w:r>
        <w:rPr>
          <w:sz w:val="22"/>
          <w:szCs w:val="22"/>
        </w:rPr>
        <w:t xml:space="preserve">• Replacing official MIND/IDA portal UIs.</w:t>
      </w:r>
    </w:p>
    <w:p>
      <w:pPr>
        <w:spacing w:after="80"/>
        <w:ind w:left="360"/>
      </w:pPr>
      <w:r>
        <w:rPr>
          <w:sz w:val="22"/>
          <w:szCs w:val="22"/>
        </w:rPr>
        <w:t xml:space="preserve">• Open-web as answer source.</w:t>
      </w:r>
    </w:p>
    <w:p>
      <w:pPr>
        <w:spacing w:after="80"/>
        <w:ind w:left="360"/>
      </w:pPr>
      <w:r>
        <w:rPr>
          <w:sz w:val="22"/>
          <w:szCs w:val="22"/>
        </w:rPr>
        <w:t xml:space="preserve">• Live marketplace matching, geospatial land fit, or real-time distressed-factory registries (Future Modules later phase).</w:t>
      </w:r>
    </w:p>
    <w:p>
      <w:pPr>
        <w:pStyle w:val="Heading1"/>
        <w:spacing w:after="160" w:before="280"/>
      </w:pPr>
      <w:r>
        <w:rPr>
          <w:b/>
          <w:bCs/>
        </w:rPr>
        <w:t xml:space="preserve">8. Solution Overview</w:t>
      </w:r>
    </w:p>
    <w:p>
      <w:pPr>
        <w:spacing w:after="160"/>
      </w:pPr>
      <w:r>
        <w:rPr>
          <w:sz w:val="22"/>
          <w:szCs w:val="22"/>
        </w:rPr>
        <w:t xml:space="preserve">Option A centralized hub: Access/RBAC · Industrial Advisor · Shared KB · Private workspaces · Anonymized analytics. Entry: MIND tab → InduHub. Infra: Egypt-hosted inference, vector store, audit logging.</w:t>
      </w:r>
    </w:p>
    <w:p>
      <w:pPr>
        <w:pStyle w:val="Heading1"/>
        <w:spacing w:after="160" w:before="280"/>
      </w:pPr>
      <w:r>
        <w:rPr>
          <w:b/>
          <w:bCs/>
        </w:rPr>
        <w:t xml:space="preserve">9. Functional Requirements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FR-1 Multilingual cited Q&amp;A with mandatory citations.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FR-2 Domain opportunity / policy briefs from governed sources.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FR-3 Domain-specific guidance (licensing, standards, programmes).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FR-4 Agency / service router (IDA, IMC, MIND services).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FR-5 Private workspace upload.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FR-6 Role-based tenancy.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FR-7 Anonymized analytics for sponsor org.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FR-8 Knowledge versioning &amp; refresh.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FR-9 Decline/escalate when no reliable source.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FR-10 Audit log.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FR-11 Admin KB console.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FR-12 Export brief / one-pager from grounded answer.</w:t>
      </w:r>
    </w:p>
    <w:p>
      <w:pPr>
        <w:pStyle w:val="Heading1"/>
        <w:spacing w:after="160" w:before="280"/>
      </w:pPr>
      <w:r>
        <w:rPr>
          <w:b/>
          <w:bCs/>
        </w:rPr>
        <w:t xml:space="preserve">10. Non-Functional Requirements</w:t>
      </w:r>
    </w:p>
    <w:p>
      <w:pPr>
        <w:spacing w:after="80"/>
        <w:ind w:left="360"/>
      </w:pPr>
      <w:r>
        <w:rPr>
          <w:sz w:val="22"/>
          <w:szCs w:val="22"/>
        </w:rPr>
        <w:t xml:space="preserve">• Data residency in Egypt; encryption in transit and at rest.</w:t>
      </w:r>
    </w:p>
    <w:p>
      <w:pPr>
        <w:spacing w:after="80"/>
        <w:ind w:left="360"/>
      </w:pPr>
      <w:r>
        <w:rPr>
          <w:sz w:val="22"/>
          <w:szCs w:val="22"/>
        </w:rPr>
        <w:t xml:space="preserve">• Arabic RTL and English LTR first-class UX.</w:t>
      </w:r>
    </w:p>
    <w:p>
      <w:pPr>
        <w:spacing w:after="80"/>
        <w:ind w:left="360"/>
      </w:pPr>
      <w:r>
        <w:rPr>
          <w:sz w:val="22"/>
          <w:szCs w:val="22"/>
        </w:rPr>
        <w:t xml:space="preserve">• Availability and latency targets agreed in SoW; graceful decline under load.</w:t>
      </w:r>
    </w:p>
    <w:p>
      <w:pPr>
        <w:spacing w:after="80"/>
        <w:ind w:left="360"/>
      </w:pPr>
      <w:r>
        <w:rPr>
          <w:sz w:val="22"/>
          <w:szCs w:val="22"/>
        </w:rPr>
        <w:t xml:space="preserve">• Accessibility baseline WCAG 2.1 AA for core flows where feasible.</w:t>
      </w:r>
    </w:p>
    <w:p>
      <w:pPr>
        <w:pStyle w:val="Heading1"/>
        <w:spacing w:after="160" w:before="280"/>
      </w:pPr>
      <w:r>
        <w:rPr>
          <w:b/>
          <w:bCs/>
        </w:rPr>
        <w:t xml:space="preserve">11. Knowledge Base</w:t>
      </w:r>
    </w:p>
    <w:p>
      <w:pPr>
        <w:spacing w:after="160"/>
      </w:pPr>
      <w:r>
        <w:rPr>
          <w:sz w:val="22"/>
          <w:szCs w:val="22"/>
        </w:rPr>
        <w:t xml:space="preserve">v1 corpus: MIND methodology and service docs; «احسب فرصتك» published methodology; IDA procedure and land guidance PDFs; IMC programme catalogues; ministry strategy and decree texts approved by owners. No open-internet grounding.</w:t>
      </w:r>
    </w:p>
    <w:p>
      <w:pPr>
        <w:pStyle w:val="Heading1"/>
        <w:spacing w:after="160" w:before="280"/>
      </w:pPr>
      <w:r>
        <w:rPr>
          <w:b/>
          <w:bCs/>
        </w:rPr>
        <w:t xml:space="preserve">12. User Journeys</w:t>
      </w:r>
    </w:p>
    <w:p>
      <w:pPr>
        <w:spacing w:after="80"/>
        <w:ind w:left="360"/>
      </w:pPr>
      <w:r>
        <w:rPr>
          <w:sz w:val="22"/>
          <w:szCs w:val="22"/>
        </w:rPr>
        <w:t xml:space="preserve">• Investor: MIND tab → InduHub login → ask preliminary feasibility → review citations → optional private upload → export one-pager.</w:t>
      </w:r>
    </w:p>
    <w:p>
      <w:pPr>
        <w:spacing w:after="80"/>
        <w:ind w:left="360"/>
      </w:pPr>
      <w:r>
        <w:rPr>
          <w:sz w:val="22"/>
          <w:szCs w:val="22"/>
        </w:rPr>
        <w:t xml:space="preserve">• IDA officer: answer procedure questions with guide citations; escalate gaps to KB admin.</w:t>
      </w:r>
    </w:p>
    <w:p>
      <w:pPr>
        <w:spacing w:after="80"/>
        <w:ind w:left="360"/>
      </w:pPr>
      <w:r>
        <w:rPr>
          <w:sz w:val="22"/>
          <w:szCs w:val="22"/>
        </w:rPr>
        <w:t xml:space="preserve">• Ministry analyst: review anonymized theme reports; request new source ingestion.</w:t>
      </w:r>
    </w:p>
    <w:p>
      <w:pPr>
        <w:pStyle w:val="Heading1"/>
        <w:spacing w:after="160" w:before="280"/>
      </w:pPr>
      <w:r>
        <w:rPr>
          <w:b/>
          <w:bCs/>
        </w:rPr>
        <w:t xml:space="preserve">13. Success Metrics</w:t>
      </w:r>
    </w:p>
    <w:p>
      <w:pPr>
        <w:spacing w:after="80"/>
        <w:ind w:left="360"/>
      </w:pPr>
      <w:r>
        <w:rPr>
          <w:sz w:val="22"/>
          <w:szCs w:val="22"/>
        </w:rPr>
        <w:t xml:space="preserve">• ≥60% faster time-to-insight; ≥95% cited answers; ≥80% MAU in pilot; zero cross-tenant incidents; ticket deflection on top FAQ themes.</w:t>
      </w:r>
    </w:p>
    <w:p>
      <w:pPr>
        <w:pStyle w:val="Heading1"/>
        <w:spacing w:after="160" w:before="280"/>
      </w:pPr>
      <w:r>
        <w:rPr>
          <w:b/>
          <w:bCs/>
        </w:rPr>
        <w:t xml:space="preserve">14. Risks</w:t>
      </w:r>
    </w:p>
    <w:p>
      <w:pPr>
        <w:spacing w:after="160"/>
      </w:pPr>
      <w:r>
        <w:rPr>
          <w:sz w:val="22"/>
          <w:szCs w:val="22"/>
        </w:rPr>
        <w:t xml:space="preserve">See Business Case §10 — freshness, hallucination, leakage, source access, communications.</w:t>
      </w:r>
    </w:p>
    <w:p>
      <w:pPr>
        <w:pStyle w:val="Heading1"/>
        <w:spacing w:after="160" w:before="280"/>
      </w:pPr>
      <w:r>
        <w:rPr>
          <w:b/>
          <w:bCs/>
        </w:rPr>
        <w:t xml:space="preserve">15. Assumptions</w:t>
      </w:r>
    </w:p>
    <w:p>
      <w:pPr>
        <w:spacing w:after="80"/>
        <w:ind w:left="360"/>
      </w:pPr>
      <w:r>
        <w:rPr>
          <w:sz w:val="22"/>
          <w:szCs w:val="22"/>
        </w:rPr>
        <w:t xml:space="preserve">• Ministry sponsors MIND tab placement and InduHub URL branding.</w:t>
      </w:r>
    </w:p>
    <w:p>
      <w:pPr>
        <w:spacing w:after="80"/>
        <w:ind w:left="360"/>
      </w:pPr>
      <w:r>
        <w:rPr>
          <w:sz w:val="22"/>
          <w:szCs w:val="22"/>
        </w:rPr>
        <w:t xml:space="preserve">• Source-owning entities can provide exportable text for pilot.</w:t>
      </w:r>
    </w:p>
    <w:p>
      <w:pPr>
        <w:spacing w:after="80"/>
        <w:ind w:left="360"/>
      </w:pPr>
      <w:r>
        <w:rPr>
          <w:sz w:val="22"/>
          <w:szCs w:val="22"/>
        </w:rPr>
        <w:t xml:space="preserve">• Egypt-hosted GPU/inference capacity available under agreed hosting model.</w:t>
      </w:r>
    </w:p>
    <w:p>
      <w:pPr>
        <w:pStyle w:val="Heading1"/>
        <w:spacing w:after="160" w:before="280"/>
      </w:pPr>
      <w:r>
        <w:rPr>
          <w:b/>
          <w:bCs/>
        </w:rPr>
        <w:t xml:space="preserve">16. Next Steps</w:t>
      </w:r>
    </w:p>
    <w:p>
      <w:pPr>
        <w:spacing w:after="80"/>
        <w:ind w:left="360"/>
      </w:pPr>
      <w:r>
        <w:rPr>
          <w:sz w:val="22"/>
          <w:szCs w:val="22"/>
        </w:rPr>
        <w:t xml:space="preserve">• Discovery workshop → firm SoW for Phases 0–2.</w:t>
      </w:r>
    </w:p>
    <w:p>
      <w:pPr>
        <w:spacing w:after="80"/>
        <w:ind w:left="360"/>
      </w:pPr>
      <w:r>
        <w:rPr>
          <w:sz w:val="22"/>
          <w:szCs w:val="22"/>
        </w:rPr>
        <w:t xml:space="preserve">• Pilot cohort selection (entities + investors).</w:t>
      </w:r>
    </w:p>
    <w:p>
      <w:pPr>
        <w:spacing w:after="80"/>
        <w:ind w:left="360"/>
      </w:pPr>
      <w:r>
        <w:rPr>
          <w:sz w:val="22"/>
          <w:szCs w:val="22"/>
        </w:rPr>
        <w:t xml:space="preserve">• Source inventory and DPA execution.</w:t>
      </w:r>
    </w:p>
    <w:p>
      <w:pPr>
        <w:pStyle w:val="Heading1"/>
        <w:spacing w:after="160" w:before="280"/>
      </w:pPr>
      <w:r>
        <w:rPr>
          <w:b/>
          <w:bCs/>
        </w:rPr>
        <w:t xml:space="preserve">17. Future Modules Catalog</w:t>
      </w:r>
    </w:p>
    <w:p>
      <w:pPr>
        <w:spacing w:after="160"/>
      </w:pPr>
      <w:r>
        <w:rPr>
          <w:sz w:val="22"/>
          <w:szCs w:val="22"/>
        </w:rPr>
        <w:t xml:space="preserve">Post-pilot only. Phase-one (text documents): F1, F2, F4, F5, F6, F8, F12, F14, F15, F16. Later (live/geo/workflow/analytics): F3, F7, F9, F10, F11, F13. Modules need governed sources, DPAs and steering approval; advisory only where legal risk exists.</w:t>
      </w:r>
    </w:p>
    <w:p>
      <w:pPr>
        <w:pStyle w:val="Heading2"/>
        <w:spacing w:after="160" w:before="280"/>
      </w:pPr>
      <w:r>
        <w:rPr>
          <w:b/>
          <w:bCs/>
        </w:rPr>
        <w:t xml:space="preserve">A — Opportunity &amp; Feasibility</w:t>
      </w:r>
    </w:p>
    <w:p>
      <w:pPr>
        <w:spacing w:after="80"/>
        <w:ind w:left="360"/>
      </w:pPr>
      <w:r>
        <w:rPr>
          <w:sz w:val="22"/>
          <w:szCs w:val="22"/>
        </w:rPr>
        <w:t xml:space="preserve">• F1 Cited preliminary feasibility</w:t>
      </w:r>
    </w:p>
    <w:p>
      <w:pPr>
        <w:spacing w:after="80"/>
        <w:ind w:left="360"/>
      </w:pPr>
      <w:r>
        <w:rPr>
          <w:sz w:val="22"/>
          <w:szCs w:val="22"/>
        </w:rPr>
        <w:t xml:space="preserve">• F2 Sector opportunity briefs</w:t>
      </w:r>
    </w:p>
    <w:p>
      <w:pPr>
        <w:spacing w:after="80"/>
        <w:ind w:left="360"/>
      </w:pPr>
      <w:r>
        <w:rPr>
          <w:sz w:val="22"/>
          <w:szCs w:val="22"/>
        </w:rPr>
        <w:t xml:space="preserve">• F3 Industrial map / land fit (later)</w:t>
      </w:r>
    </w:p>
    <w:p>
      <w:pPr>
        <w:pStyle w:val="Heading2"/>
        <w:spacing w:after="160" w:before="280"/>
      </w:pPr>
      <w:r>
        <w:rPr>
          <w:b/>
          <w:bCs/>
        </w:rPr>
        <w:t xml:space="preserve">B — Licensing, Land &amp; Compliance</w:t>
      </w:r>
    </w:p>
    <w:p>
      <w:pPr>
        <w:spacing w:after="80"/>
        <w:ind w:left="360"/>
      </w:pPr>
      <w:r>
        <w:rPr>
          <w:sz w:val="22"/>
          <w:szCs w:val="22"/>
        </w:rPr>
        <w:t xml:space="preserve">• F4 IDA licensing navigator</w:t>
      </w:r>
    </w:p>
    <w:p>
      <w:pPr>
        <w:spacing w:after="80"/>
        <w:ind w:left="360"/>
      </w:pPr>
      <w:r>
        <w:rPr>
          <w:sz w:val="22"/>
          <w:szCs w:val="22"/>
        </w:rPr>
        <w:t xml:space="preserve">• F5 Land &amp; lease guidance</w:t>
      </w:r>
    </w:p>
    <w:p>
      <w:pPr>
        <w:spacing w:after="80"/>
        <w:ind w:left="360"/>
      </w:pPr>
      <w:r>
        <w:rPr>
          <w:sz w:val="22"/>
          <w:szCs w:val="22"/>
        </w:rPr>
        <w:t xml:space="preserve">• F6 Standards / conformity coach</w:t>
      </w:r>
    </w:p>
    <w:p>
      <w:pPr>
        <w:pStyle w:val="Heading2"/>
        <w:spacing w:after="160" w:before="280"/>
      </w:pPr>
      <w:r>
        <w:rPr>
          <w:b/>
          <w:bCs/>
        </w:rPr>
        <w:t xml:space="preserve">C — Agency Enablement</w:t>
      </w:r>
    </w:p>
    <w:p>
      <w:pPr>
        <w:spacing w:after="80"/>
        <w:ind w:left="360"/>
      </w:pPr>
      <w:r>
        <w:rPr>
          <w:sz w:val="22"/>
          <w:szCs w:val="22"/>
        </w:rPr>
        <w:t xml:space="preserve">• F7 Complaint router (later)</w:t>
      </w:r>
    </w:p>
    <w:p>
      <w:pPr>
        <w:spacing w:after="80"/>
        <w:ind w:left="360"/>
      </w:pPr>
      <w:r>
        <w:rPr>
          <w:sz w:val="22"/>
          <w:szCs w:val="22"/>
        </w:rPr>
        <w:t xml:space="preserve">• F8 IMC programme matcher</w:t>
      </w:r>
    </w:p>
    <w:p>
      <w:pPr>
        <w:spacing w:after="80"/>
        <w:ind w:left="360"/>
      </w:pPr>
      <w:r>
        <w:rPr>
          <w:sz w:val="22"/>
          <w:szCs w:val="22"/>
        </w:rPr>
        <w:t xml:space="preserve">• F9 Distressed-factory triage (later)</w:t>
      </w:r>
    </w:p>
    <w:p>
      <w:pPr>
        <w:pStyle w:val="Heading2"/>
        <w:spacing w:after="160" w:before="280"/>
      </w:pPr>
      <w:r>
        <w:rPr>
          <w:b/>
          <w:bCs/>
        </w:rPr>
        <w:t xml:space="preserve">D — Supply Chain &amp; Market</w:t>
      </w:r>
    </w:p>
    <w:p>
      <w:pPr>
        <w:spacing w:after="80"/>
        <w:ind w:left="360"/>
      </w:pPr>
      <w:r>
        <w:rPr>
          <w:sz w:val="22"/>
          <w:szCs w:val="22"/>
        </w:rPr>
        <w:t xml:space="preserve">• F10 Inputs matcher (later)</w:t>
      </w:r>
    </w:p>
    <w:p>
      <w:pPr>
        <w:spacing w:after="80"/>
        <w:ind w:left="360"/>
      </w:pPr>
      <w:r>
        <w:rPr>
          <w:sz w:val="22"/>
          <w:szCs w:val="22"/>
        </w:rPr>
        <w:t xml:space="preserve">• F11 Catalogue match (later)</w:t>
      </w:r>
    </w:p>
    <w:p>
      <w:pPr>
        <w:spacing w:after="80"/>
        <w:ind w:left="360"/>
      </w:pPr>
      <w:r>
        <w:rPr>
          <w:sz w:val="22"/>
          <w:szCs w:val="22"/>
        </w:rPr>
        <w:t xml:space="preserve">• F12 Export-readiness handoff (gated)</w:t>
      </w:r>
    </w:p>
    <w:p>
      <w:pPr>
        <w:pStyle w:val="Heading2"/>
        <w:spacing w:after="160" w:before="280"/>
      </w:pPr>
      <w:r>
        <w:rPr>
          <w:b/>
          <w:bCs/>
        </w:rPr>
        <w:t xml:space="preserve">E — National Insight</w:t>
      </w:r>
    </w:p>
    <w:p>
      <w:pPr>
        <w:spacing w:after="80"/>
        <w:ind w:left="360"/>
      </w:pPr>
      <w:r>
        <w:rPr>
          <w:sz w:val="22"/>
          <w:szCs w:val="22"/>
        </w:rPr>
        <w:t xml:space="preserve">• F13 Localization dashboards (later)</w:t>
      </w:r>
    </w:p>
    <w:p>
      <w:pPr>
        <w:spacing w:after="80"/>
        <w:ind w:left="360"/>
      </w:pPr>
      <w:r>
        <w:rPr>
          <w:sz w:val="22"/>
          <w:szCs w:val="22"/>
        </w:rPr>
        <w:t xml:space="preserve">• F14 Governorate coach</w:t>
      </w:r>
    </w:p>
    <w:p>
      <w:pPr>
        <w:spacing w:after="80"/>
        <w:ind w:left="360"/>
      </w:pPr>
      <w:r>
        <w:rPr>
          <w:sz w:val="22"/>
          <w:szCs w:val="22"/>
        </w:rPr>
        <w:t xml:space="preserve">• F15 Policy &amp; decree Q&amp;A</w:t>
      </w:r>
    </w:p>
    <w:p>
      <w:pPr>
        <w:pStyle w:val="Heading2"/>
        <w:spacing w:after="160" w:before="280"/>
      </w:pPr>
      <w:r>
        <w:rPr>
          <w:b/>
          <w:bCs/>
        </w:rPr>
        <w:t xml:space="preserve">F — Cross-mandate</w:t>
      </w:r>
    </w:p>
    <w:p>
      <w:pPr>
        <w:spacing w:after="80"/>
        <w:ind w:left="360"/>
      </w:pPr>
      <w:r>
        <w:rPr>
          <w:sz w:val="22"/>
          <w:szCs w:val="22"/>
        </w:rPr>
        <w:t xml:space="preserve">• F16 Industry ↔ investment / export linkage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2026-08-02T09:19:59.581Z</dcterms:created>
  <dcterms:modified xsi:type="dcterms:W3CDTF">2026-08-02T09:19:59.581Z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