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80"/>
      </w:pPr>
      <w:r>
        <w:rPr>
          <w:b/>
          <w:bCs/>
        </w:rPr>
        <w:t xml:space="preserve">Business Case — InduBrain Industrial Intelligence Platform</w:t>
      </w:r>
    </w:p>
    <w:p>
      <w:pPr>
        <w:spacing w:after="160"/>
      </w:pPr>
      <w:r>
        <w:rPr>
          <w:sz w:val="22"/>
          <w:szCs w:val="22"/>
        </w:rPr>
        <w:t xml:space="preserve">A Centralized, Secure AI Industrial-Intelligence Layer for Egypt’s Manufacturers Support Journey</w:t>
      </w:r>
    </w:p>
    <w:p>
      <w:pPr>
        <w:spacing w:after="160"/>
      </w:pPr>
      <w:r>
        <w:rPr>
          <w:sz w:val="22"/>
          <w:szCs w:val="22"/>
        </w:rPr>
        <w:t xml:space="preserve">Prepared for: Egyptian Ministry of Industry and Trade · In connection with: المنظومة الرقمية الموحدة لدعم المصنعين (MIND) and خدمة «احسب فرصتك» · Prepared by: Corbia Innovation Hub · Version 1.0 (Draft for Discussion) — August 2026</w:t>
      </w:r>
    </w:p>
    <w:p>
      <w:pPr>
        <w:pStyle w:val="Heading1"/>
        <w:spacing w:after="160" w:before="280"/>
      </w:pPr>
      <w:r>
        <w:rPr>
          <w:b/>
          <w:bCs/>
        </w:rPr>
        <w:t xml:space="preserve">1. Document Control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Field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Document Title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Business Case — InduBrain Industrial Intelligence Platform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For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Egyptian Ministry of Industry and Trade (and affiliated entities: IDA, IMC)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By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Corbia Innovation Hub — Hossam Zein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Companion Document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PRD — InduBrain Industrial Advisor (v1.0)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Status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Draft — For Discussion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Version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August 2026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Access pattern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MIND hub tab → InduHub portal → InduBrain central hub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2. Executive Summary</w:t>
      </w:r>
    </w:p>
    <w:p>
      <w:pPr>
        <w:spacing w:after="160"/>
      </w:pPr>
      <w:r>
        <w:rPr>
          <w:sz w:val="22"/>
          <w:szCs w:val="22"/>
        </w:rPr>
        <w:t xml:space="preserve">Egypt’s Ministry of Industry has launched the unified digital Manufacturers Support Platform (MIND) to accompany industrial investors from idea to operation — including complaints, production-inputs matching, a digital market, «احسب فرصتك» AI-assisted preliminary feasibility, and distressed-factory pathways — alongside IDA licensing and IMC technical programmes.</w:t>
      </w:r>
    </w:p>
    <w:p>
      <w:pPr>
        <w:spacing w:after="160"/>
      </w:pPr>
      <w:r>
        <w:rPr>
          <w:sz w:val="22"/>
          <w:szCs w:val="22"/>
        </w:rPr>
        <w:t xml:space="preserve">What does not yet scale is on-demand, cited decision support that deepens «احسب فرصتك» and routes investors and officials through governed IDA/IMC/ministry text sources with mandatory citations, private workspaces, and ministry-grade analytics — entered from a familiar MIND tab into a dedicated InduHub experience.</w:t>
      </w:r>
    </w:p>
    <w:p>
      <w:pPr>
        <w:spacing w:after="160"/>
      </w:pPr>
      <w:r>
        <w:rPr>
          <w:sz w:val="22"/>
          <w:szCs w:val="22"/>
        </w:rPr>
        <w:t xml:space="preserve">This Business Case proposes InduBrain: a centralized industrial intelligence hub on Egypt-hosted inference and audit infrastructure. Full functional detail is in the companion PRD. Phase 4 Future Work lists sixteen modules in six categories, activated text-first then live systems.</w:t>
      </w:r>
    </w:p>
    <w:p>
      <w:pPr>
        <w:pStyle w:val="Heading1"/>
        <w:spacing w:after="160" w:before="280"/>
      </w:pPr>
      <w:r>
        <w:rPr>
          <w:b/>
          <w:bCs/>
        </w:rPr>
        <w:t xml:space="preserve">3. Strategic Alignment</w:t>
      </w:r>
    </w:p>
    <w:p>
      <w:pPr>
        <w:spacing w:after="160"/>
      </w:pPr>
      <w:r>
        <w:rPr>
          <w:sz w:val="22"/>
          <w:szCs w:val="22"/>
        </w:rPr>
        <w:t xml:space="preserve">InduBrain sits at the intersection of national industrial priorities:</w:t>
      </w:r>
    </w:p>
    <w:p>
      <w:pPr>
        <w:spacing w:after="80"/>
        <w:ind w:left="360"/>
      </w:pPr>
      <w:r>
        <w:rPr>
          <w:sz w:val="22"/>
          <w:szCs w:val="22"/>
        </w:rPr>
        <w:t xml:space="preserve">• Digital transformation of manufacturer services through MIND and Egypt Digital Industry pathways.</w:t>
      </w:r>
    </w:p>
    <w:p>
      <w:pPr>
        <w:spacing w:after="80"/>
        <w:ind w:left="360"/>
      </w:pPr>
      <w:r>
        <w:rPr>
          <w:sz w:val="22"/>
          <w:szCs w:val="22"/>
        </w:rPr>
        <w:t xml:space="preserve">• Deepening local manufacturing and reducing import dependence on critical production inputs.</w:t>
      </w:r>
    </w:p>
    <w:p>
      <w:pPr>
        <w:spacing w:after="80"/>
        <w:ind w:left="360"/>
      </w:pPr>
      <w:r>
        <w:rPr>
          <w:sz w:val="22"/>
          <w:szCs w:val="22"/>
        </w:rPr>
        <w:t xml:space="preserve">• Faster, more transparent investor journeys across IDA licensing and IMC readiness programmes.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Support for distressed factories and data-driven industrial policy for ministry leadership.</w:t>
      </w:r>
    </w:p>
    <w:p>
      <w:pPr>
        <w:pStyle w:val="Heading1"/>
        <w:spacing w:after="160" w:before="280"/>
      </w:pPr>
      <w:r>
        <w:rPr>
          <w:b/>
          <w:bCs/>
        </w:rPr>
        <w:t xml:space="preserve">4. The Opportunity</w:t>
      </w:r>
    </w:p>
    <w:p>
      <w:pPr>
        <w:spacing w:after="160"/>
      </w:pPr>
      <w:r>
        <w:rPr>
          <w:sz w:val="22"/>
          <w:szCs w:val="22"/>
        </w:rPr>
        <w:t xml:space="preserve">Officials and firms must interpret licensing procedures, programme eligibility, localization priorities and preliminary feasibility signals while navigating which entity unlocks which service. Static portals and one-shot calculators do not close that gap at national scale with citations and tenancy.</w:t>
      </w:r>
    </w:p>
    <w:p>
      <w:pPr>
        <w:spacing w:after="160"/>
      </w:pPr>
      <w:r>
        <w:rPr>
          <w:sz w:val="22"/>
          <w:szCs w:val="22"/>
        </w:rPr>
        <w:t xml:space="preserve">A cited AI reference layer, grounded strictly in ministry-approved sources, gives every authorised user an on-demand answer — and gives the Ministry anonymized visibility into where knowledge gaps persist across sectors and governorates.</w:t>
      </w:r>
    </w:p>
    <w:p>
      <w:pPr>
        <w:pStyle w:val="Heading1"/>
        <w:spacing w:after="160" w:before="280"/>
      </w:pPr>
      <w:r>
        <w:rPr>
          <w:b/>
          <w:bCs/>
        </w:rPr>
        <w:t xml:space="preserve">5. Value Proposition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Benefit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Speed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Industrial opportunity, licensing and programme questions answered in seconds from governed sources.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Consistency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One ministry-approved interpretation of MIND, IDA and IMC facts.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Personalization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Answers reflect each project’s private inputs without exposing them to peers.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Reduced workload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Entity helpdesks and ministry analysts freed from repetitive routing queries.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Ministry visibility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Aggregated, anonymized reporting on hot topics and sector gaps.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Scalable model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Reusable hub for governorates, future sectors and industry–investment–export linkage.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6. Architecture Options and Recommendation</w:t>
      </w:r>
    </w:p>
    <w:p>
      <w:pPr>
        <w:pStyle w:val="Heading2"/>
        <w:spacing w:after="160" w:before="280"/>
      </w:pPr>
      <w:r>
        <w:rPr>
          <w:b/>
          <w:bCs/>
        </w:rPr>
        <w:t xml:space="preserve">Option A — Centralized Hub via InduHub (Recommended)</w:t>
      </w:r>
    </w:p>
    <w:p>
      <w:pPr>
        <w:spacing w:after="160"/>
      </w:pPr>
      <w:r>
        <w:rPr>
          <w:sz w:val="22"/>
          <w:szCs w:val="22"/>
        </w:rPr>
        <w:t xml:space="preserve">One ministry-governed AI intelligence platform serving ministry roles, IDA/IMC and private industrial investors from a shared curated knowledge base, with an isolated private workspace per company or entity team. Users discover InduBrain from a MIND hub tab and land on the InduHub portal for the full advisor experience.</w:t>
      </w:r>
    </w:p>
    <w:p>
      <w:pPr>
        <w:spacing w:after="80"/>
        <w:ind w:left="360"/>
      </w:pPr>
      <w:r>
        <w:rPr>
          <w:sz w:val="22"/>
          <w:szCs w:val="22"/>
        </w:rPr>
        <w:t xml:space="preserve">• Lowest cost and fastest time-to-value; single knowledge base as MIND and catalogues evolve.</w:t>
      </w:r>
    </w:p>
    <w:p>
      <w:pPr>
        <w:spacing w:after="80"/>
        <w:ind w:left="360"/>
      </w:pPr>
      <w:r>
        <w:rPr>
          <w:sz w:val="22"/>
          <w:szCs w:val="22"/>
        </w:rPr>
        <w:t xml:space="preserve">• Single point of security governance and audit for the Ministry.</w:t>
      </w:r>
    </w:p>
    <w:p>
      <w:pPr>
        <w:spacing w:after="80"/>
        <w:ind w:left="360"/>
      </w:pPr>
      <w:r>
        <w:rPr>
          <w:sz w:val="22"/>
          <w:szCs w:val="22"/>
        </w:rPr>
        <w:t xml:space="preserve">• Consistent answers by design across audiences; thin MIND entry, full hub behind InduHub.</w:t>
      </w:r>
    </w:p>
    <w:p>
      <w:pPr>
        <w:pStyle w:val="Heading2"/>
        <w:spacing w:after="160" w:before="280"/>
      </w:pPr>
      <w:r>
        <w:rPr>
          <w:b/>
          <w:bCs/>
        </w:rPr>
        <w:t xml:space="preserve">Option B — Per-Entity Dedicated Instances</w:t>
      </w:r>
    </w:p>
    <w:p>
      <w:pPr>
        <w:spacing w:after="160"/>
      </w:pPr>
      <w:r>
        <w:rPr>
          <w:sz w:val="22"/>
          <w:szCs w:val="22"/>
        </w:rPr>
        <w:t xml:space="preserve">Separate fully isolated instances per major entity — highest isolation, materially higher cost; defer unless Phase 1 security review requires it.</w:t>
      </w:r>
    </w:p>
    <w:p>
      <w:pPr>
        <w:pStyle w:val="Heading2"/>
        <w:spacing w:after="160" w:before="280"/>
      </w:pPr>
      <w:r>
        <w:rPr>
          <w:b/>
          <w:bCs/>
        </w:rPr>
        <w:t xml:space="preserve">Sovereign infrastructure</w:t>
      </w:r>
    </w:p>
    <w:p>
      <w:pPr>
        <w:spacing w:after="160"/>
      </w:pPr>
      <w:r>
        <w:rPr>
          <w:sz w:val="22"/>
          <w:szCs w:val="22"/>
        </w:rPr>
        <w:t xml:space="preserve">Egypt-hosted inference and vector storage with data residency in Egypt; no open-internet grounding; full audit of queries and answers.</w:t>
      </w:r>
    </w:p>
    <w:p>
      <w:pPr>
        <w:pStyle w:val="Heading1"/>
        <w:spacing w:after="160" w:before="280"/>
      </w:pPr>
      <w:r>
        <w:rPr>
          <w:b/>
          <w:bCs/>
        </w:rPr>
        <w:t xml:space="preserve">7. Indicative Cost &amp; Infra Framework</w:t>
      </w:r>
    </w:p>
    <w:p>
      <w:pPr>
        <w:spacing w:after="160"/>
      </w:pPr>
      <w:r>
        <w:rPr>
          <w:sz w:val="22"/>
          <w:szCs w:val="22"/>
        </w:rPr>
        <w:t xml:space="preserve">Indicative phase bands only — not a firm quotation. Discovery workshop converts this into a statement of work covering Egypt-hosted inference, knowledge operations, bilingual UX and entity onboarding.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Phase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Focus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Indicative band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0 Discovery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Security, MIND tab access, pilot entities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Workshop + fixed discovery fee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1 Pilot Build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InduHub + shared text KB + 1–2 entities + investor cohort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Build + monthly infra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2 Pilot Eval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Metrics, hardening, content refresh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Ops + support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3 Multi-entity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Remaining affiliated bodies + broader private access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Roll-out + capacity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4 Scale + Future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Text-first Future Modules then live-system modules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Ongoing + module SOWs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8. Roadmap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0 — Discovery (2 weeks): hosting model, security, MIND→InduHub entry path, pilot selection.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1 — Pilot Build (4 weeks): centralized hub + shared text knowledge base + private workspaces.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2 — Pilot Evaluation (3 weeks): run against success metrics with selected entities and investors.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3 — Multi-entity roll-out (4 weeks): onboard remaining industrial bodies.</w:t>
      </w:r>
    </w:p>
    <w:p>
      <w:pPr>
        <w:spacing w:after="80"/>
        <w:ind w:left="360"/>
      </w:pPr>
      <w:r>
        <w:rPr>
          <w:sz w:val="22"/>
          <w:szCs w:val="22"/>
        </w:rPr>
        <w:t xml:space="preserve">• Phase 4 — Scale &amp; Future Work (ongoing): text-document modules first, then live/geo/workflow modules.</w:t>
      </w:r>
    </w:p>
    <w:p>
      <w:pPr>
        <w:pStyle w:val="Heading1"/>
        <w:spacing w:after="160" w:before="280"/>
      </w:pPr>
      <w:r>
        <w:rPr>
          <w:b/>
          <w:bCs/>
        </w:rPr>
        <w:t xml:space="preserve">8b. Future Work — AI expansion fields (by category)</w:t>
      </w:r>
    </w:p>
    <w:p>
      <w:pPr>
        <w:spacing w:after="160"/>
      </w:pPr>
      <w:r>
        <w:rPr>
          <w:sz w:val="22"/>
          <w:szCs w:val="22"/>
        </w:rPr>
        <w:t xml:space="preserve">All modules below are post-pilot. They activate only after governed source ingestion, data-processing agreements and ministry steering approval. Feasibility and policy modules remain advisory and do not replace licensed studies or official filings.</w:t>
      </w:r>
    </w:p>
    <w:p>
      <w:pPr>
        <w:pStyle w:val="Heading2"/>
        <w:spacing w:after="160" w:before="280"/>
      </w:pPr>
      <w:r>
        <w:rPr>
          <w:b/>
          <w:bCs/>
        </w:rPr>
        <w:t xml:space="preserve">Phase-one — text documents only</w:t>
      </w:r>
    </w:p>
    <w:p>
      <w:pPr>
        <w:spacing w:after="80"/>
        <w:ind w:left="360"/>
      </w:pPr>
      <w:r>
        <w:rPr>
          <w:sz w:val="22"/>
          <w:szCs w:val="22"/>
        </w:rPr>
        <w:t xml:space="preserve">• F1 Cited preliminary feasibility («احسب فرصتك» deepening).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F2 Sector opportunity briefs (localization / import-substitution).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F4 IDA licensing / procedure navigator.</w:t>
      </w:r>
    </w:p>
    <w:p>
      <w:pPr>
        <w:spacing w:after="80"/>
        <w:ind w:left="360"/>
      </w:pPr>
      <w:r>
        <w:rPr>
          <w:sz w:val="22"/>
          <w:szCs w:val="22"/>
        </w:rPr>
        <w:t xml:space="preserve">• F5 Industrial land &amp; lease guidance.</w:t>
      </w:r>
    </w:p>
    <w:p>
      <w:pPr>
        <w:spacing w:after="80"/>
        <w:ind w:left="360"/>
      </w:pPr>
      <w:r>
        <w:rPr>
          <w:sz w:val="22"/>
          <w:szCs w:val="22"/>
        </w:rPr>
        <w:t xml:space="preserve">• F6 Standards / conformity coach.</w:t>
      </w:r>
    </w:p>
    <w:p>
      <w:pPr>
        <w:spacing w:after="80"/>
        <w:ind w:left="360"/>
      </w:pPr>
      <w:r>
        <w:rPr>
          <w:sz w:val="22"/>
          <w:szCs w:val="22"/>
        </w:rPr>
        <w:t xml:space="preserve">• F8 IMC programmes &amp; technical-support matcher.</w:t>
      </w:r>
    </w:p>
    <w:p>
      <w:pPr>
        <w:spacing w:after="80"/>
        <w:ind w:left="360"/>
      </w:pPr>
      <w:r>
        <w:rPr>
          <w:sz w:val="22"/>
          <w:szCs w:val="22"/>
        </w:rPr>
        <w:t xml:space="preserve">• F12 Export-readiness handoff (gated, guide-based).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F14 Governorate industrial coach.</w:t>
      </w:r>
    </w:p>
    <w:p>
      <w:pPr>
        <w:spacing w:after="80"/>
        <w:ind w:left="360"/>
      </w:pPr>
      <w:r>
        <w:rPr>
          <w:sz w:val="22"/>
          <w:szCs w:val="22"/>
        </w:rPr>
        <w:t xml:space="preserve">• F15 Policy Q&amp;A on industrial strategy &amp; decrees (cited).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F16 Industry ↔ investment / export linkage briefs.</w:t>
      </w:r>
    </w:p>
    <w:p>
      <w:pPr>
        <w:pStyle w:val="Heading2"/>
        <w:spacing w:after="160" w:before="280"/>
      </w:pPr>
      <w:r>
        <w:rPr>
          <w:b/>
          <w:bCs/>
        </w:rPr>
        <w:t xml:space="preserve">Later phase — live registries, geospatial, workflows, analytics</w:t>
      </w:r>
    </w:p>
    <w:p>
      <w:pPr>
        <w:spacing w:after="80"/>
        <w:ind w:left="360"/>
      </w:pPr>
      <w:r>
        <w:rPr>
          <w:sz w:val="22"/>
          <w:szCs w:val="22"/>
        </w:rPr>
        <w:t xml:space="preserve">• F3 Industrial map / land &amp; zone fit advisor.</w:t>
      </w:r>
    </w:p>
    <w:p>
      <w:pPr>
        <w:spacing w:after="80"/>
        <w:ind w:left="360"/>
      </w:pPr>
      <w:r>
        <w:rPr>
          <w:sz w:val="22"/>
          <w:szCs w:val="22"/>
        </w:rPr>
        <w:t xml:space="preserve">• F7 Manufacturer complaint &amp; inquiry router (SLA-aware).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F9 Distressed-factory triage → finance / partnership pathways.</w:t>
      </w:r>
    </w:p>
    <w:p>
      <w:pPr>
        <w:spacing w:after="80"/>
        <w:ind w:left="360"/>
      </w:pPr>
      <w:r>
        <w:rPr>
          <w:sz w:val="22"/>
          <w:szCs w:val="22"/>
        </w:rPr>
        <w:t xml:space="preserve">• F10 Local inputs / BOM supplier matcher.</w:t>
      </w:r>
    </w:p>
    <w:p>
      <w:pPr>
        <w:spacing w:after="80"/>
        <w:ind w:left="360"/>
      </w:pPr>
      <w:r>
        <w:rPr>
          <w:sz w:val="22"/>
          <w:szCs w:val="22"/>
        </w:rPr>
        <w:t xml:space="preserve">• F11 Industrial catalogue &amp; B2B match briefs.</w:t>
      </w:r>
    </w:p>
    <w:p>
      <w:pPr>
        <w:spacing w:after="80"/>
        <w:ind w:left="360"/>
      </w:pPr>
      <w:r>
        <w:rPr>
          <w:sz w:val="22"/>
          <w:szCs w:val="22"/>
        </w:rPr>
        <w:t xml:space="preserve">• F13 Anonymized demand / localization dashboards for leadership.</w:t>
      </w:r>
    </w:p>
    <w:p>
      <w:pPr>
        <w:pStyle w:val="Heading1"/>
        <w:spacing w:after="160" w:before="280"/>
      </w:pPr>
      <w:r>
        <w:rPr>
          <w:b/>
          <w:bCs/>
        </w:rPr>
        <w:t xml:space="preserve">9. Governance &amp; Partnership</w:t>
      </w:r>
    </w:p>
    <w:p>
      <w:pPr>
        <w:spacing w:after="160"/>
      </w:pPr>
      <w:r>
        <w:rPr>
          <w:sz w:val="22"/>
          <w:szCs w:val="22"/>
        </w:rPr>
        <w:t xml:space="preserve">A joint steering group (Ministry digital leadership, IDA, IMC, Corbia) owns priorities, source approval and go-live gates. Data ownership remains with the Ministry and source-owning entities. Corbia operates under a formal DPA and confidentiality agreement. Private investor uploads stay isolated in tenant workspaces.</w:t>
      </w:r>
    </w:p>
    <w:p>
      <w:pPr>
        <w:pStyle w:val="Heading1"/>
        <w:spacing w:after="160" w:before="280"/>
      </w:pPr>
      <w:r>
        <w:rPr>
          <w:b/>
          <w:bCs/>
        </w:rPr>
        <w:t xml:space="preserve">10. Risks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Risk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Mitigation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Source freshness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Versioned KB; admin refresh cadence; decline when stale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Hallucination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Mandatory citations; refuse without reliable source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Cross-tenant leakage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Hard tenancy isolation; audit; penetration tests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Access to source systems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Discovery workshop; start with exportable text corpora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Communications / expectation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Pitch site + docs state advisory scope; not live LLM on microsite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11. Return / Success</w:t>
      </w:r>
    </w:p>
    <w:p>
      <w:pPr>
        <w:spacing w:after="80"/>
        <w:ind w:left="360"/>
      </w:pPr>
      <w:r>
        <w:rPr>
          <w:sz w:val="22"/>
          <w:szCs w:val="22"/>
        </w:rPr>
        <w:t xml:space="preserve">• ≥60% faster time-to-industrial insight for pilot cohort vs baseline desk research.</w:t>
      </w:r>
    </w:p>
    <w:p>
      <w:pPr>
        <w:spacing w:after="80"/>
        <w:ind w:left="360"/>
      </w:pPr>
      <w:r>
        <w:rPr>
          <w:sz w:val="22"/>
          <w:szCs w:val="22"/>
        </w:rPr>
        <w:t xml:space="preserve">• ≥95% of answers carrying a valid citation to an approved source version.</w:t>
      </w:r>
    </w:p>
    <w:p>
      <w:pPr>
        <w:spacing w:after="80"/>
        <w:ind w:left="360"/>
      </w:pPr>
      <w:r>
        <w:rPr>
          <w:sz w:val="22"/>
          <w:szCs w:val="22"/>
        </w:rPr>
        <w:t xml:space="preserve">• ≥80% of pilot cohort active monthly.</w:t>
      </w:r>
    </w:p>
    <w:p>
      <w:pPr>
        <w:spacing w:after="80"/>
        <w:ind w:left="360"/>
      </w:pPr>
      <w:r>
        <w:rPr>
          <w:sz w:val="22"/>
          <w:szCs w:val="22"/>
        </w:rPr>
        <w:t xml:space="preserve">• Zero cross-tenant data incidents.</w:t>
      </w:r>
    </w:p>
    <w:p>
      <w:pPr>
        <w:spacing w:after="80"/>
        <w:ind w:left="360"/>
      </w:pPr>
      <w:r>
        <w:rPr>
          <w:sz w:val="22"/>
          <w:szCs w:val="22"/>
        </w:rPr>
        <w:t xml:space="preserve">• Measurable ticket deflection on repetitive IDA/IMC/MIND FAQ themes.</w:t>
      </w:r>
    </w:p>
    <w:p>
      <w:pPr>
        <w:pStyle w:val="Heading1"/>
        <w:spacing w:after="160" w:before="280"/>
      </w:pPr>
      <w:r>
        <w:rPr>
          <w:b/>
          <w:bCs/>
        </w:rPr>
        <w:t xml:space="preserve">12. Next Steps</w:t>
      </w:r>
    </w:p>
    <w:p>
      <w:pPr>
        <w:spacing w:after="80"/>
        <w:ind w:left="360"/>
      </w:pPr>
      <w:r>
        <w:rPr>
          <w:sz w:val="22"/>
          <w:szCs w:val="22"/>
        </w:rPr>
        <w:t xml:space="preserve">• Joint discovery workshop (security, MIND tab UX, pilot entities, source inventory).</w:t>
      </w:r>
    </w:p>
    <w:p>
      <w:pPr>
        <w:spacing w:after="80"/>
        <w:ind w:left="360"/>
      </w:pPr>
      <w:r>
        <w:rPr>
          <w:sz w:val="22"/>
          <w:szCs w:val="22"/>
        </w:rPr>
        <w:t xml:space="preserve">• Firm statement of work for Phase 0–2.</w:t>
      </w:r>
    </w:p>
    <w:p>
      <w:pPr>
        <w:spacing w:after="80"/>
        <w:ind w:left="360"/>
      </w:pPr>
      <w:r>
        <w:rPr>
          <w:sz w:val="22"/>
          <w:szCs w:val="22"/>
        </w:rPr>
        <w:t xml:space="preserve">• Steering approval to begin text-KB ingestion for pilot.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2026-08-02T09:19:59.502Z</dcterms:created>
  <dcterms:modified xsi:type="dcterms:W3CDTF">2026-08-02T09:19:59.503Z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